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8" w:type="dxa"/>
        <w:tblLook w:val="04A0" w:firstRow="1" w:lastRow="0" w:firstColumn="1" w:lastColumn="0" w:noHBand="0" w:noVBand="1"/>
      </w:tblPr>
      <w:tblGrid>
        <w:gridCol w:w="4928"/>
        <w:gridCol w:w="6480"/>
      </w:tblGrid>
      <w:tr w:rsidR="009C1044" w:rsidRPr="00CE7B63" w:rsidTr="005F1A21">
        <w:tc>
          <w:tcPr>
            <w:tcW w:w="4928" w:type="dxa"/>
            <w:shd w:val="clear" w:color="auto" w:fill="auto"/>
            <w:hideMark/>
          </w:tcPr>
          <w:p w:rsidR="009C1044" w:rsidRPr="00CE7B63" w:rsidRDefault="009C1044" w:rsidP="005F1A21">
            <w:pPr>
              <w:tabs>
                <w:tab w:val="left" w:pos="360"/>
                <w:tab w:val="left" w:pos="426"/>
              </w:tabs>
              <w:spacing w:before="120" w:after="120" w:line="360" w:lineRule="auto"/>
              <w:jc w:val="center"/>
              <w:rPr>
                <w:rFonts w:ascii="Times New Roman" w:hAnsi="Times New Roman"/>
                <w:color w:val="000000"/>
                <w:sz w:val="26"/>
                <w:szCs w:val="26"/>
              </w:rPr>
            </w:pPr>
            <w:r w:rsidRPr="00CE7B63">
              <w:rPr>
                <w:rFonts w:ascii="Times New Roman" w:hAnsi="Times New Roman"/>
                <w:color w:val="000000"/>
                <w:sz w:val="26"/>
                <w:szCs w:val="26"/>
              </w:rPr>
              <w:t>TRƯỜNG ĐẠI HỌC LUẬT TP HCM</w:t>
            </w:r>
          </w:p>
          <w:p w:rsidR="009C1044" w:rsidRPr="00CE7B63" w:rsidRDefault="009C1044" w:rsidP="005F1A21">
            <w:pPr>
              <w:tabs>
                <w:tab w:val="left" w:pos="360"/>
                <w:tab w:val="left" w:pos="426"/>
              </w:tabs>
              <w:spacing w:before="120" w:after="120" w:line="360" w:lineRule="auto"/>
              <w:jc w:val="center"/>
              <w:rPr>
                <w:rFonts w:ascii="Times New Roman" w:hAnsi="Times New Roman"/>
                <w:b/>
                <w:color w:val="000000"/>
                <w:sz w:val="26"/>
                <w:szCs w:val="26"/>
                <w:u w:val="single"/>
                <w:lang w:val="vi-VN"/>
              </w:rPr>
            </w:pPr>
            <w:r w:rsidRPr="00CE7B63">
              <w:rPr>
                <w:rFonts w:ascii="Times New Roman" w:hAnsi="Times New Roman"/>
                <w:b/>
                <w:color w:val="000000"/>
                <w:sz w:val="26"/>
                <w:szCs w:val="26"/>
                <w:u w:val="single"/>
              </w:rPr>
              <w:t>KHOA LUẬT HÌNH SỰ</w:t>
            </w:r>
          </w:p>
        </w:tc>
        <w:tc>
          <w:tcPr>
            <w:tcW w:w="6480" w:type="dxa"/>
            <w:shd w:val="clear" w:color="auto" w:fill="auto"/>
          </w:tcPr>
          <w:p w:rsidR="009C1044" w:rsidRPr="00CE7B63" w:rsidRDefault="009C1044" w:rsidP="005F1A21">
            <w:pPr>
              <w:tabs>
                <w:tab w:val="left" w:pos="360"/>
                <w:tab w:val="left" w:pos="426"/>
              </w:tabs>
              <w:spacing w:before="120" w:after="120" w:line="360" w:lineRule="auto"/>
              <w:jc w:val="both"/>
              <w:rPr>
                <w:rFonts w:ascii="Times New Roman" w:hAnsi="Times New Roman"/>
                <w:color w:val="000000"/>
                <w:sz w:val="26"/>
                <w:szCs w:val="26"/>
              </w:rPr>
            </w:pPr>
          </w:p>
        </w:tc>
      </w:tr>
    </w:tbl>
    <w:p w:rsidR="009C1044" w:rsidRPr="00CE7B63" w:rsidRDefault="009C1044" w:rsidP="009C1044">
      <w:pPr>
        <w:tabs>
          <w:tab w:val="left" w:pos="360"/>
          <w:tab w:val="left" w:pos="426"/>
        </w:tabs>
        <w:spacing w:before="120" w:after="120" w:line="360" w:lineRule="auto"/>
        <w:jc w:val="both"/>
        <w:rPr>
          <w:rFonts w:ascii="Times New Roman" w:hAnsi="Times New Roman"/>
          <w:b/>
          <w:color w:val="000000"/>
          <w:sz w:val="26"/>
          <w:szCs w:val="26"/>
        </w:rPr>
      </w:pPr>
    </w:p>
    <w:p w:rsidR="009C1044" w:rsidRPr="00CE7B63" w:rsidRDefault="009C1044" w:rsidP="009C1044">
      <w:pPr>
        <w:tabs>
          <w:tab w:val="left" w:pos="360"/>
          <w:tab w:val="left" w:pos="426"/>
        </w:tabs>
        <w:spacing w:before="120" w:after="120" w:line="360" w:lineRule="auto"/>
        <w:jc w:val="center"/>
        <w:rPr>
          <w:rFonts w:ascii="Times New Roman" w:hAnsi="Times New Roman"/>
          <w:b/>
          <w:color w:val="000000"/>
          <w:sz w:val="26"/>
          <w:szCs w:val="26"/>
          <w:lang w:val="en-GB"/>
        </w:rPr>
      </w:pPr>
      <w:r w:rsidRPr="00CE7B63">
        <w:rPr>
          <w:rFonts w:ascii="Times New Roman" w:hAnsi="Times New Roman"/>
          <w:b/>
          <w:color w:val="000000"/>
          <w:sz w:val="26"/>
          <w:szCs w:val="26"/>
        </w:rPr>
        <w:t>ĐỀ TÀI NGHIÊN CỨU KHOA HỌC SINH VIÊN NĂM HỌC 2022-202</w:t>
      </w:r>
      <w:r w:rsidRPr="00CE7B63">
        <w:rPr>
          <w:rFonts w:ascii="Times New Roman" w:hAnsi="Times New Roman"/>
          <w:b/>
          <w:color w:val="000000"/>
          <w:sz w:val="26"/>
          <w:szCs w:val="26"/>
          <w:lang w:val="en-GB"/>
        </w:rPr>
        <w:t>3</w:t>
      </w:r>
    </w:p>
    <w:p w:rsidR="009C1044" w:rsidRPr="00CE7B63" w:rsidRDefault="009C1044" w:rsidP="009C1044">
      <w:pPr>
        <w:jc w:val="center"/>
        <w:rPr>
          <w:rFonts w:ascii="Times New Roman" w:hAnsi="Times New Roman"/>
          <w:b/>
          <w:sz w:val="8"/>
          <w:szCs w:val="26"/>
        </w:rPr>
      </w:pPr>
    </w:p>
    <w:p w:rsidR="009C1044" w:rsidRPr="00CE7B63" w:rsidRDefault="009C1044" w:rsidP="009C1044">
      <w:pPr>
        <w:jc w:val="center"/>
        <w:rPr>
          <w:rFonts w:ascii="Times New Roman" w:hAnsi="Times New Roman"/>
          <w:b/>
          <w:sz w:val="26"/>
          <w:szCs w:val="26"/>
        </w:rPr>
      </w:pPr>
      <w:r w:rsidRPr="00CE7B63">
        <w:rPr>
          <w:rFonts w:ascii="Times New Roman" w:hAnsi="Times New Roman"/>
          <w:b/>
          <w:sz w:val="26"/>
          <w:szCs w:val="26"/>
        </w:rPr>
        <w:t>BỘ MÔN LUẬT HÌNH SỰ</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1.</w:t>
      </w:r>
      <w:r w:rsidRPr="00CE7B63">
        <w:rPr>
          <w:rFonts w:ascii="Times New Roman" w:hAnsi="Times New Roman"/>
          <w:sz w:val="26"/>
          <w:szCs w:val="26"/>
        </w:rPr>
        <w:tab/>
        <w:t xml:space="preserve">Các tình tiết tăng nặng TNHS theo quy định của pháp luật hình sự Việt Nam </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2.</w:t>
      </w:r>
      <w:r w:rsidRPr="00CE7B63">
        <w:rPr>
          <w:rFonts w:ascii="Times New Roman" w:hAnsi="Times New Roman"/>
          <w:sz w:val="26"/>
          <w:szCs w:val="26"/>
        </w:rPr>
        <w:tab/>
        <w:t xml:space="preserve">Phạm tội có tính chất chuyên nghiệp theo quy định của pháp luật hình sự Việt Nam </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3.</w:t>
      </w:r>
      <w:r w:rsidRPr="00CE7B63">
        <w:rPr>
          <w:rFonts w:ascii="Times New Roman" w:hAnsi="Times New Roman"/>
          <w:sz w:val="26"/>
          <w:szCs w:val="26"/>
        </w:rPr>
        <w:tab/>
        <w:t xml:space="preserve">Phạm tội nhiều lần theo quy định của pháp luật hình sự Việt Nam  </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4.</w:t>
      </w:r>
      <w:r w:rsidRPr="00CE7B63">
        <w:rPr>
          <w:rFonts w:ascii="Times New Roman" w:hAnsi="Times New Roman"/>
          <w:sz w:val="26"/>
          <w:szCs w:val="26"/>
        </w:rPr>
        <w:tab/>
        <w:t xml:space="preserve">Trách nhiệm hình sự trong đồng phạm theo luật hình sự Việt Nam </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5.</w:t>
      </w:r>
      <w:r w:rsidRPr="00CE7B63">
        <w:rPr>
          <w:rFonts w:ascii="Times New Roman" w:hAnsi="Times New Roman"/>
          <w:sz w:val="26"/>
          <w:szCs w:val="26"/>
        </w:rPr>
        <w:tab/>
        <w:t xml:space="preserve">Tội bắt cóc nhằm chiếm đoạt tài sản theo luật hình sự Việt Nam </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6.</w:t>
      </w:r>
      <w:r w:rsidRPr="00CE7B63">
        <w:rPr>
          <w:rFonts w:ascii="Times New Roman" w:hAnsi="Times New Roman"/>
          <w:sz w:val="26"/>
          <w:szCs w:val="26"/>
        </w:rPr>
        <w:tab/>
        <w:t xml:space="preserve">Hình phạt tù có thời hạn theo quy định của pháp luật một số nước và kinh nghiệm cho Việt Nam </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7.</w:t>
      </w:r>
      <w:r w:rsidRPr="00CE7B63">
        <w:rPr>
          <w:rFonts w:ascii="Times New Roman" w:hAnsi="Times New Roman"/>
          <w:sz w:val="26"/>
          <w:szCs w:val="26"/>
        </w:rPr>
        <w:tab/>
        <w:t xml:space="preserve">Phân hoá trách nhiệm hình sự trong các biện pháp miễn trách nhiệm hình sự </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8.</w:t>
      </w:r>
      <w:r w:rsidRPr="00CE7B63">
        <w:rPr>
          <w:rFonts w:ascii="Times New Roman" w:hAnsi="Times New Roman"/>
          <w:sz w:val="26"/>
          <w:szCs w:val="26"/>
        </w:rPr>
        <w:tab/>
        <w:t xml:space="preserve">Phân hoá trách nhiệm hình sự trong các biện pháp miễn, giảm hình phạt </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9.</w:t>
      </w:r>
      <w:r w:rsidRPr="00CE7B63">
        <w:rPr>
          <w:rFonts w:ascii="Times New Roman" w:hAnsi="Times New Roman"/>
          <w:sz w:val="26"/>
          <w:szCs w:val="26"/>
        </w:rPr>
        <w:tab/>
        <w:t xml:space="preserve">Chuẩn bị phạm tội theo luật hình sự Việt Nam </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10.</w:t>
      </w:r>
      <w:r w:rsidRPr="00CE7B63">
        <w:rPr>
          <w:rFonts w:ascii="Times New Roman" w:hAnsi="Times New Roman"/>
          <w:sz w:val="26"/>
          <w:szCs w:val="26"/>
        </w:rPr>
        <w:tab/>
        <w:t>Tội dâm ô đối với người dưới 16 tuổi theo luật hình sự Việt Nam</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11.</w:t>
      </w:r>
      <w:r w:rsidRPr="00CE7B63">
        <w:rPr>
          <w:rFonts w:ascii="Times New Roman" w:hAnsi="Times New Roman"/>
          <w:sz w:val="26"/>
          <w:szCs w:val="26"/>
        </w:rPr>
        <w:tab/>
        <w:t>Bảo vệ nạn nhân là trẻ em theo luật hình sự Việt Nam</w:t>
      </w:r>
    </w:p>
    <w:p w:rsidR="009C1044" w:rsidRPr="00CE7B63" w:rsidRDefault="009C1044" w:rsidP="009C1044">
      <w:pPr>
        <w:rPr>
          <w:rFonts w:ascii="Times New Roman" w:hAnsi="Times New Roman"/>
          <w:sz w:val="26"/>
          <w:szCs w:val="26"/>
        </w:rPr>
      </w:pPr>
      <w:r w:rsidRPr="00CE7B63">
        <w:rPr>
          <w:rFonts w:ascii="Times New Roman" w:hAnsi="Times New Roman"/>
          <w:sz w:val="26"/>
          <w:szCs w:val="26"/>
        </w:rPr>
        <w:t>12.      Các tội mua bán người theo luật hình sự Việt Nam</w:t>
      </w:r>
    </w:p>
    <w:p w:rsidR="009C1044" w:rsidRPr="00CE7B63" w:rsidRDefault="009C1044" w:rsidP="009C1044">
      <w:pPr>
        <w:rPr>
          <w:rFonts w:ascii="Times New Roman" w:hAnsi="Times New Roman"/>
          <w:sz w:val="26"/>
          <w:szCs w:val="26"/>
        </w:rPr>
      </w:pPr>
    </w:p>
    <w:p w:rsidR="009C1044" w:rsidRPr="00CE7B63" w:rsidRDefault="009C1044" w:rsidP="009C1044">
      <w:pPr>
        <w:spacing w:after="0" w:line="312" w:lineRule="auto"/>
        <w:jc w:val="center"/>
        <w:rPr>
          <w:rFonts w:ascii="Times New Roman" w:hAnsi="Times New Roman"/>
          <w:b/>
          <w:sz w:val="26"/>
          <w:szCs w:val="26"/>
        </w:rPr>
      </w:pPr>
      <w:r w:rsidRPr="00CE7B63">
        <w:rPr>
          <w:rFonts w:ascii="Times New Roman" w:hAnsi="Times New Roman"/>
          <w:b/>
          <w:sz w:val="26"/>
          <w:szCs w:val="26"/>
        </w:rPr>
        <w:t>LĨNH VỰC LUẬT TỐ TỤNG HÌNH SỰ VÀ THI HÀNH ÁN HÌNH SỰ</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Số hoá hồ sơ vụ án hình sự: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Phòng ngừa, xử lý các tội xâm hại tình dục trẻ em trên không gian mạng: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lastRenderedPageBreak/>
        <w:t xml:space="preserve">Điều tra, truy tố, xét xử vụ án hình sự về tội vi phạm quy định về kinh doanh theo phương thức đa cấp </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 xml:space="preserve">Điều tra, truy tố, xét xử vụ án hình sự về các tội phạm liên quan đến động vật hoang dã </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Điều tra vụ án hình sự về các tội phạm liên quan đến động vật hoang dã: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Điều tra vụ án hình sự về hành vi buôn bán, vận chuyển trái phép động vật hoang dã bằng đường biển</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Hợp tác quốc tế trong giải quyết vụ án hình sự về các tội phạm liên quan đến động vật hoang dã</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 xml:space="preserve">Bảo quản, xử lý vật chứng là động vật hoang dã theo luật tố tụng hình sự Việt Nam </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 xml:space="preserve">Giám định vật chứng là động vật hoang dã theo luật tố tụng hình sự Việt Nam </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Bảo quản, xử lý vật chứng là gỗ trong quá trình giải quyết vụ án hình sự về tội vi phạm quy định về khai thác, bảo vệ rừng và lâm sản</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Xác định thiệt hại trong tội vi phạm quy định về quản lý, sử dụng tài sản nhà nước gây thất thoát, lãng phí</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Người bảo vệ quyền và lợi ích hợp pháp của bị hại, đương sự trong tố tụng hình sự</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Nguyên tắc xét xử kịp thời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Nguyên tắc Thẩm phán, Hội thẩm xét xử độc lập và chỉ tuân theo pháp luật: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Quyền im lặng của người bị buộc tội trong tố tụng hình sự: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Nguyên tắc loại trừ chứng cứ trong tố tụng hình sự: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Nguyên tắc bảo đảm giải quyết nhanh chóng, kịp thời các vụ án liên quan đến người dưới 18 tuổi: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Xử lý vật chứng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Bị hại trong tố tụng hình sự: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lastRenderedPageBreak/>
        <w:t>Quyền của bị hại dưới 18 tuổi trong tố tụng hình sự: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Biện pháp tạm giam đối với người dưới 18 tuổi: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Thời hạn tạm giam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Biện pháp bắt người bị giữ trong trường hợp khẩn cấp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Nguồn chứng cứ là kết luận giám định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Biện pháp kê biên tài sản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Biện pháp phong tỏa tài khoản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Tạm đình chỉ việc giải quyết tố giác, tin báo về tội phạm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Thẩm quyền của công an xã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 xml:space="preserve">Khởi tố vụ án theo yêu cầu của bị hại trong tố tụng hình sự Việt Nam </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Thẩm quyền điều tra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Biện pháp điều tra tố tụng đặc biệt: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Đình chỉ vụ án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Thẩm quyền xét xử sơ thẩm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Xét hỏi tại phiên tòa sơ thẩm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Phiên tòa sơ bộ theo pháp luật một số nước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Hoãn phiên tòa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Quyền sửa bản án sơ thẩm của Hội đồng xét xử phúc thẩm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Quyền hủy bản án sơ thẩm để điều tra lại của Hội đồng xét xử phúc thẩm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Quyền hủy bản án sơ thẩm để xét xử lại của Hội đồng xét xử phúc thẩm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lastRenderedPageBreak/>
        <w:t>Quyền hủy bản án sơ thẩm và đình chỉ vụ án của Hội đồng xét xử phúc thẩm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Quyền sửa bản án, quyết định đã có hiệu lực pháp luật của Hội đồng giám đốc thẩm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Thủ tục áp dụng biện pháp hòa giải tại cộng đồng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Thủ tục truy cứu trách nhiệm hình sự pháp nhân: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Thủ tục áp dụng biện pháp bắt buộc chữa bệnh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Thủ tục rút gọn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Xử lý người vi phạm nội quy phiên tòa theo luật tố tụng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Chế độ học tập, học nghề của phạm nhân theo luật thi hành án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Chế độ lao động của phạm nhân theo luật thi hành án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Chế độ sử dụng kinh sách, bày tỏ niềm tin tín ngưỡng, tôn giáo của phạm nhân theo luật thi hành án hình sự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Xử lý phạm nhân vi phạm: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Chế độ giam giữ phạm nhân là người dưới 18 tuổi: Nghiên cứu so sánh và kinh nghiệm cho Việt Nam</w:t>
      </w:r>
    </w:p>
    <w:p w:rsidR="009C1044" w:rsidRPr="00CE7B63" w:rsidRDefault="009C1044" w:rsidP="009C1044">
      <w:pPr>
        <w:pStyle w:val="ListParagraph"/>
        <w:numPr>
          <w:ilvl w:val="0"/>
          <w:numId w:val="2"/>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Chế độ gặp, liên lạc với thân nhân của phạm nhân là người dưới 18 tuổi: Nghiên cứu so sánh và kinh nghiệm cho Việt Nam</w:t>
      </w:r>
    </w:p>
    <w:p w:rsidR="009C1044" w:rsidRPr="00CE7B63" w:rsidRDefault="009C1044" w:rsidP="009C1044">
      <w:pPr>
        <w:spacing w:after="0" w:line="312" w:lineRule="auto"/>
        <w:ind w:left="709" w:hanging="425"/>
        <w:jc w:val="center"/>
        <w:rPr>
          <w:b/>
          <w:i/>
          <w:color w:val="0D0D0D" w:themeColor="text1" w:themeTint="F2"/>
          <w:sz w:val="26"/>
          <w:szCs w:val="26"/>
        </w:rPr>
      </w:pPr>
    </w:p>
    <w:p w:rsidR="009C1044" w:rsidRPr="00CE7B63" w:rsidRDefault="009C1044" w:rsidP="009C1044">
      <w:pPr>
        <w:spacing w:before="120" w:after="120" w:line="360" w:lineRule="auto"/>
        <w:jc w:val="center"/>
        <w:rPr>
          <w:rFonts w:ascii="Times New Roman" w:hAnsi="Times New Roman"/>
          <w:b/>
          <w:sz w:val="26"/>
          <w:szCs w:val="26"/>
        </w:rPr>
      </w:pPr>
      <w:r w:rsidRPr="00CE7B63">
        <w:rPr>
          <w:rFonts w:ascii="Times New Roman" w:hAnsi="Times New Roman"/>
          <w:b/>
          <w:sz w:val="26"/>
          <w:szCs w:val="26"/>
        </w:rPr>
        <w:t>LĨNH VỰC TỘI PHẠM HỌC</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cs="Times New Roman"/>
          <w:sz w:val="26"/>
          <w:szCs w:val="26"/>
        </w:rPr>
      </w:pPr>
      <w:r w:rsidRPr="00CE7B63">
        <w:rPr>
          <w:rFonts w:ascii="Times New Roman" w:hAnsi="Times New Roman" w:cs="Times New Roman"/>
          <w:sz w:val="26"/>
          <w:szCs w:val="26"/>
        </w:rPr>
        <w:t>Phòng ngừa tội phạm do người chưa thành niên thực hiện tại TP. Hồ Chí Minh</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Phòng ngừa tội phạm cướp giật tài sản tại TP Hồ Chí Minh</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Phòng ngừa tội phạm giết người tại TP. Hồ Chí Minh</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 xml:space="preserve">Phòng ngừa tội phạm do người nước ngoài thực hiện tại </w:t>
      </w:r>
      <w:proofErr w:type="gramStart"/>
      <w:r w:rsidRPr="00CE7B63">
        <w:rPr>
          <w:rFonts w:ascii="Times New Roman" w:hAnsi="Times New Roman"/>
          <w:sz w:val="26"/>
          <w:szCs w:val="26"/>
        </w:rPr>
        <w:t>TP.Hồ</w:t>
      </w:r>
      <w:proofErr w:type="gramEnd"/>
      <w:r w:rsidRPr="00CE7B63">
        <w:rPr>
          <w:rFonts w:ascii="Times New Roman" w:hAnsi="Times New Roman"/>
          <w:sz w:val="26"/>
          <w:szCs w:val="26"/>
        </w:rPr>
        <w:t xml:space="preserve"> Chí Minh</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Phòng ngừa tội phạm vi phạm quy định về điều khiển phương tiện giao thông đường bộ tại TP Hồ Chí Minh</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Phòng ngừa tội phạm ở góc độ nhân thân người phạm tội</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lastRenderedPageBreak/>
        <w:t>Phòng ngừa tội phạm ở góc độ nạn nhân của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 xml:space="preserve">Phòng ngừa tội phạm do người chưa thành niên phạm </w:t>
      </w:r>
      <w:proofErr w:type="gramStart"/>
      <w:r w:rsidRPr="00CE7B63">
        <w:rPr>
          <w:rFonts w:ascii="Times New Roman" w:hAnsi="Times New Roman"/>
          <w:sz w:val="26"/>
          <w:szCs w:val="26"/>
        </w:rPr>
        <w:t>tội  ở</w:t>
      </w:r>
      <w:proofErr w:type="gramEnd"/>
      <w:r w:rsidRPr="00CE7B63">
        <w:rPr>
          <w:rFonts w:ascii="Times New Roman" w:hAnsi="Times New Roman"/>
          <w:sz w:val="26"/>
          <w:szCs w:val="26"/>
        </w:rPr>
        <w:t xml:space="preserve"> góc độ hiệu quả thi hành hình phạt tù</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Ứng dụng một số học thuyết tội phạm học trên thế giới vào thực tiễn phòng ngừa tội phạm ở Việt Nam (SV có thể chọn một hoặc một số học thuyết để thực hiện đề tài)</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Phòng ngừa các tội phạm xuyên quốc gia</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Phòng ngừa tội phạm có tổ chức</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Phòng ngừa tình hình tái phạm tội</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Phòng ngừa tội phạm do pháp nhân thực hiện (sinh viên chọn một nhóm tội nhất định)</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Hợp tác quốc tế trong phòng ngừa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rPr>
        <w:t>Biện</w:t>
      </w:r>
      <w:r w:rsidRPr="00CE7B63">
        <w:rPr>
          <w:rFonts w:ascii="Times New Roman" w:hAnsi="Times New Roman"/>
          <w:sz w:val="26"/>
          <w:szCs w:val="26"/>
          <w:lang w:val="vi-VN"/>
        </w:rPr>
        <w:t xml:space="preserve"> pháp văn hoá – giáo dục trong phòng ngừa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Biện pháp kinh tế - xã hội trong phòng ngừa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 xml:space="preserve">Biện pháp tâm lý – giáo dục trong phòng ngừa tội phạm </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 xml:space="preserve">Biện pháp tâm lý – giáo dục trong phòng ngừa tội phạm giết người </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Ứng dụng tư tưởng Đạo gia trong phòng ngừa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Nghiên cứu tư tưởng của triết gia Socrate trong phòng ngừa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Nghiên cứu tư tưởng của triết gia Platon trong phòng ngừa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Hiện tượng thần tượng hoá của giới trẻ trong mối liên hệ với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Lối sống “ảo” trong mối liên hệ với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Văn hoá ngoại lai trong mối liên hệ với tội phạm</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Nghiên cứu so sánh tình hình tội phạm Việt Nam với một số quốc gia trên thế giới</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Phòng ngừa tội phạm buôn người (phạm vi nghiên cứu Việt Nam – Trung Quốc)</w:t>
      </w:r>
    </w:p>
    <w:p w:rsidR="009C1044" w:rsidRPr="00CE7B63" w:rsidRDefault="009C1044" w:rsidP="009C1044">
      <w:pPr>
        <w:pStyle w:val="ListParagraph"/>
        <w:numPr>
          <w:ilvl w:val="0"/>
          <w:numId w:val="1"/>
        </w:numPr>
        <w:spacing w:before="120" w:after="120" w:line="360" w:lineRule="auto"/>
        <w:ind w:left="0" w:firstLine="0"/>
        <w:jc w:val="both"/>
        <w:rPr>
          <w:rFonts w:ascii="Times New Roman" w:hAnsi="Times New Roman"/>
          <w:sz w:val="26"/>
          <w:szCs w:val="26"/>
        </w:rPr>
      </w:pPr>
      <w:r w:rsidRPr="00CE7B63">
        <w:rPr>
          <w:rFonts w:ascii="Times New Roman" w:hAnsi="Times New Roman"/>
          <w:sz w:val="26"/>
          <w:szCs w:val="26"/>
          <w:lang w:val="vi-VN"/>
        </w:rPr>
        <w:t>Phòng ngừa tội phạm buôn người (phạm vi nghiên cứu Việt Nam – Campuchia)</w:t>
      </w:r>
    </w:p>
    <w:p w:rsidR="009C1044" w:rsidRPr="00CE7B63" w:rsidRDefault="009C1044" w:rsidP="009C1044">
      <w:pPr>
        <w:spacing w:before="120" w:after="120" w:line="360" w:lineRule="auto"/>
        <w:ind w:left="360"/>
        <w:jc w:val="both"/>
        <w:rPr>
          <w:sz w:val="26"/>
          <w:szCs w:val="26"/>
        </w:rPr>
      </w:pPr>
    </w:p>
    <w:p w:rsidR="009C1044" w:rsidRPr="00CE7B63" w:rsidRDefault="009C1044" w:rsidP="009C1044">
      <w:pPr>
        <w:spacing w:after="0" w:line="312" w:lineRule="auto"/>
        <w:ind w:left="709" w:hanging="425"/>
        <w:jc w:val="center"/>
        <w:rPr>
          <w:b/>
          <w:i/>
          <w:color w:val="0D0D0D" w:themeColor="text1" w:themeTint="F2"/>
          <w:sz w:val="26"/>
          <w:szCs w:val="26"/>
        </w:rPr>
      </w:pPr>
      <w:r w:rsidRPr="00CE7B63">
        <w:rPr>
          <w:b/>
          <w:i/>
          <w:color w:val="0D0D0D" w:themeColor="text1" w:themeTint="F2"/>
          <w:sz w:val="26"/>
          <w:szCs w:val="26"/>
        </w:rPr>
        <w:t>(Lưu ý: Sinh viên có thể đề xuất đề tài nghiên cứu khoa học ngoài danh mục nêu trên)</w:t>
      </w:r>
    </w:p>
    <w:p w:rsidR="00672A87" w:rsidRDefault="00672A87">
      <w:bookmarkStart w:id="0" w:name="_GoBack"/>
      <w:bookmarkEnd w:id="0"/>
    </w:p>
    <w:sectPr w:rsidR="00672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72BEA"/>
    <w:multiLevelType w:val="hybridMultilevel"/>
    <w:tmpl w:val="FB4C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95B28"/>
    <w:multiLevelType w:val="hybridMultilevel"/>
    <w:tmpl w:val="8ED8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44"/>
    <w:rsid w:val="00672A87"/>
    <w:rsid w:val="009C1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9F544-E5AF-4CBD-B38F-CE57ADB5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1044"/>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044"/>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2023-02-24T08:11:00Z</dcterms:created>
  <dcterms:modified xsi:type="dcterms:W3CDTF">2023-02-24T08:11:00Z</dcterms:modified>
</cp:coreProperties>
</file>